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2A43" w14:textId="7B5F78CD" w:rsidR="005217A0" w:rsidRPr="00B65E4B" w:rsidRDefault="005217A0">
      <w:r w:rsidRPr="00B65E4B">
        <w:t xml:space="preserve">Dr. </w:t>
      </w:r>
      <w:r w:rsidR="00D0318B" w:rsidRPr="00B65E4B">
        <w:t>Jose Nanin</w:t>
      </w:r>
    </w:p>
    <w:p w14:paraId="18CE1980" w14:textId="02041F0C" w:rsidR="00D0318B" w:rsidRDefault="005217A0">
      <w:r w:rsidRPr="00B65E4B">
        <w:t>Community Health/HPER</w:t>
      </w:r>
      <w:r w:rsidR="00D0318B" w:rsidRPr="00B65E4B">
        <w:t xml:space="preserve"> </w:t>
      </w:r>
    </w:p>
    <w:p w14:paraId="7327BEDC" w14:textId="55E67D9F" w:rsidR="00EF6143" w:rsidRPr="00B65E4B" w:rsidRDefault="00EF6143">
      <w:r>
        <w:t>CUNY Kingsborough Community College</w:t>
      </w:r>
    </w:p>
    <w:p w14:paraId="22D030F5" w14:textId="77777777" w:rsidR="00D0318B" w:rsidRPr="00B65E4B" w:rsidRDefault="00D0318B"/>
    <w:p w14:paraId="61739F86" w14:textId="2BBBBD22" w:rsidR="00D81AC9" w:rsidRPr="00B65E4B" w:rsidRDefault="00D81AC9"/>
    <w:p w14:paraId="5C5398F1" w14:textId="06934C68" w:rsidR="00D81AC9" w:rsidRPr="00B65E4B" w:rsidRDefault="00D81AC9" w:rsidP="00B65E4B">
      <w:pPr>
        <w:jc w:val="center"/>
        <w:rPr>
          <w:b/>
          <w:bCs/>
          <w:u w:val="single"/>
        </w:rPr>
      </w:pPr>
      <w:r w:rsidRPr="00B65E4B">
        <w:rPr>
          <w:b/>
          <w:bCs/>
          <w:u w:val="single"/>
        </w:rPr>
        <w:t>COVID-19 Comprehensive Resource</w:t>
      </w:r>
      <w:r w:rsidR="004B201E" w:rsidRPr="00B65E4B">
        <w:rPr>
          <w:b/>
          <w:bCs/>
          <w:u w:val="single"/>
        </w:rPr>
        <w:t xml:space="preserve"> for Education</w:t>
      </w:r>
      <w:r w:rsidR="00C8399D" w:rsidRPr="00B65E4B">
        <w:rPr>
          <w:b/>
          <w:bCs/>
          <w:u w:val="single"/>
        </w:rPr>
        <w:t xml:space="preserve">, </w:t>
      </w:r>
      <w:r w:rsidR="000C130A" w:rsidRPr="00B65E4B">
        <w:rPr>
          <w:b/>
          <w:bCs/>
          <w:u w:val="single"/>
        </w:rPr>
        <w:t>Health</w:t>
      </w:r>
      <w:r w:rsidR="00C8399D" w:rsidRPr="00B65E4B">
        <w:rPr>
          <w:b/>
          <w:bCs/>
          <w:u w:val="single"/>
        </w:rPr>
        <w:t>, and Admi</w:t>
      </w:r>
      <w:r w:rsidR="00267C65" w:rsidRPr="00B65E4B">
        <w:rPr>
          <w:b/>
          <w:bCs/>
          <w:u w:val="single"/>
        </w:rPr>
        <w:t>nis</w:t>
      </w:r>
      <w:r w:rsidR="00C8399D" w:rsidRPr="00B65E4B">
        <w:rPr>
          <w:b/>
          <w:bCs/>
          <w:u w:val="single"/>
        </w:rPr>
        <w:t>trative</w:t>
      </w:r>
      <w:r w:rsidR="000C130A" w:rsidRPr="00B65E4B">
        <w:rPr>
          <w:b/>
          <w:bCs/>
          <w:u w:val="single"/>
        </w:rPr>
        <w:t xml:space="preserve"> Services</w:t>
      </w:r>
    </w:p>
    <w:p w14:paraId="1B9B6BAA" w14:textId="7884AAE1" w:rsidR="00D81AC9" w:rsidRPr="00A4320F" w:rsidRDefault="00D81AC9" w:rsidP="00B65E4B">
      <w:pPr>
        <w:jc w:val="center"/>
        <w:rPr>
          <w:strike/>
        </w:rPr>
      </w:pPr>
    </w:p>
    <w:p w14:paraId="36613884" w14:textId="61B1CB4F" w:rsidR="00184523" w:rsidRPr="00B65E4B" w:rsidRDefault="00184523" w:rsidP="00B65E4B">
      <w:pPr>
        <w:jc w:val="center"/>
        <w:rPr>
          <w:b/>
          <w:bCs/>
          <w:i/>
          <w:iCs/>
        </w:rPr>
      </w:pPr>
      <w:r w:rsidRPr="00B65E4B">
        <w:rPr>
          <w:b/>
          <w:bCs/>
          <w:i/>
          <w:iCs/>
        </w:rPr>
        <w:t>THE RESOURCE</w:t>
      </w:r>
    </w:p>
    <w:p w14:paraId="7CD18A0F" w14:textId="0DAA6507" w:rsidR="00B65E4B" w:rsidRDefault="00B65E4B" w:rsidP="00B65E4B">
      <w:pPr>
        <w:jc w:val="center"/>
      </w:pPr>
    </w:p>
    <w:p w14:paraId="5CF26F85" w14:textId="351FE25E" w:rsidR="00B65E4B" w:rsidRDefault="00B65E4B" w:rsidP="00B65E4B">
      <w:pPr>
        <w:jc w:val="center"/>
      </w:pPr>
      <w:r>
        <w:t>(Addendum for 12-18-20)</w:t>
      </w:r>
    </w:p>
    <w:p w14:paraId="076AC2AE" w14:textId="77777777" w:rsidR="00184523" w:rsidRDefault="00184523" w:rsidP="00B65E4B">
      <w:pPr>
        <w:jc w:val="center"/>
      </w:pPr>
    </w:p>
    <w:p w14:paraId="72038F0A" w14:textId="0D9357B7" w:rsidR="00184523" w:rsidRDefault="00184523" w:rsidP="00184523"/>
    <w:p w14:paraId="6898BC4E" w14:textId="480E0C7F" w:rsidR="00184523" w:rsidRDefault="004A7FA9" w:rsidP="00184523">
      <w:pPr>
        <w:rPr>
          <w:u w:val="single"/>
        </w:rPr>
      </w:pPr>
      <w:r>
        <w:rPr>
          <w:u w:val="single"/>
        </w:rPr>
        <w:t xml:space="preserve">Specific </w:t>
      </w:r>
      <w:r w:rsidR="00771B5B" w:rsidRPr="004E747B">
        <w:rPr>
          <w:u w:val="single"/>
        </w:rPr>
        <w:t xml:space="preserve">Resources for </w:t>
      </w:r>
      <w:r w:rsidR="00184523" w:rsidRPr="004E747B">
        <w:rPr>
          <w:u w:val="single"/>
        </w:rPr>
        <w:t>faculty</w:t>
      </w:r>
    </w:p>
    <w:p w14:paraId="02212693" w14:textId="7C4BA194" w:rsidR="00001DA7" w:rsidRDefault="00001DA7" w:rsidP="00001DA7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Article (peer reviewed): </w:t>
      </w:r>
      <w:r w:rsidRPr="00001DA7">
        <w:t xml:space="preserve"> </w:t>
      </w:r>
      <w:r w:rsidRPr="00001DA7">
        <w:rPr>
          <w:i/>
          <w:iCs/>
        </w:rPr>
        <w:t>Possible role of tryptophan and melatonin in COVID-19</w:t>
      </w:r>
      <w:r>
        <w:t xml:space="preserve"> by </w:t>
      </w:r>
      <w:r w:rsidR="00E7153A">
        <w:t xml:space="preserve">M., </w:t>
      </w:r>
      <w:r w:rsidRPr="00001DA7">
        <w:t xml:space="preserve">Essa, </w:t>
      </w:r>
      <w:r w:rsidR="00E7153A">
        <w:t xml:space="preserve">H. </w:t>
      </w:r>
      <w:r w:rsidRPr="00001DA7">
        <w:t xml:space="preserve">Hamdan, </w:t>
      </w:r>
      <w:r w:rsidR="00E7153A">
        <w:t xml:space="preserve">S.B. </w:t>
      </w:r>
      <w:r w:rsidRPr="00001DA7">
        <w:t xml:space="preserve">Chidambaram, </w:t>
      </w:r>
      <w:r w:rsidR="00E7153A">
        <w:rPr>
          <w:i/>
          <w:iCs/>
        </w:rPr>
        <w:t>et al.</w:t>
      </w:r>
      <w:r w:rsidRPr="00001DA7">
        <w:t xml:space="preserve"> (2020)</w:t>
      </w:r>
      <w:r w:rsidR="00B65E4B">
        <w:t>, a</w:t>
      </w:r>
      <w:r>
        <w:t xml:space="preserve">vailable at </w:t>
      </w:r>
      <w:hyperlink r:id="rId5" w:history="1">
        <w:r w:rsidRPr="001B6DDF">
          <w:rPr>
            <w:rStyle w:val="Hyperlink"/>
          </w:rPr>
          <w:t>https://doi.org/10.1177/1178646920951832</w:t>
        </w:r>
      </w:hyperlink>
      <w:r>
        <w:t xml:space="preserve"> </w:t>
      </w:r>
      <w:r w:rsidRPr="00B65E4B">
        <w:rPr>
          <w:i/>
          <w:iCs/>
        </w:rPr>
        <w:t xml:space="preserve">(NOTE: This open-access article </w:t>
      </w:r>
      <w:r w:rsidRPr="00B65E4B">
        <w:rPr>
          <w:i/>
          <w:iCs/>
        </w:rPr>
        <w:t xml:space="preserve">may be of particular interest to educators </w:t>
      </w:r>
      <w:r w:rsidRPr="00B65E4B">
        <w:rPr>
          <w:i/>
          <w:iCs/>
        </w:rPr>
        <w:t>in biological and health sciences</w:t>
      </w:r>
      <w:r w:rsidRPr="00B65E4B">
        <w:rPr>
          <w:i/>
          <w:iCs/>
        </w:rPr>
        <w:t xml:space="preserve">, as well as </w:t>
      </w:r>
      <w:r w:rsidRPr="00B65E4B">
        <w:rPr>
          <w:i/>
          <w:iCs/>
        </w:rPr>
        <w:t xml:space="preserve">other </w:t>
      </w:r>
      <w:r w:rsidRPr="00B65E4B">
        <w:rPr>
          <w:i/>
          <w:iCs/>
        </w:rPr>
        <w:t>health-related studies.)</w:t>
      </w:r>
    </w:p>
    <w:p w14:paraId="2039BDCB" w14:textId="718816F1" w:rsidR="00D34FA4" w:rsidRDefault="00D34FA4" w:rsidP="00001DA7">
      <w:pPr>
        <w:pStyle w:val="ListParagraph"/>
        <w:numPr>
          <w:ilvl w:val="0"/>
          <w:numId w:val="2"/>
        </w:numPr>
        <w:rPr>
          <w:i/>
          <w:iCs/>
        </w:rPr>
      </w:pPr>
      <w:r>
        <w:t>Website</w:t>
      </w:r>
      <w:r w:rsidR="00E95476">
        <w:t xml:space="preserve"> (governmental):</w:t>
      </w:r>
      <w:r>
        <w:t xml:space="preserve"> </w:t>
      </w:r>
      <w:r w:rsidR="00E7153A" w:rsidRPr="00E7153A">
        <w:rPr>
          <w:i/>
          <w:iCs/>
        </w:rPr>
        <w:t>Interim Guidance on the Use of Rapid Antigen tests for COVID-19 Response</w:t>
      </w:r>
      <w:r w:rsidR="00E7153A">
        <w:t xml:space="preserve"> by Africa Centers for Disease Control and Prevention (2020), available at </w:t>
      </w:r>
      <w:hyperlink r:id="rId6" w:history="1">
        <w:r w:rsidR="00E7153A" w:rsidRPr="001B6DDF">
          <w:rPr>
            <w:rStyle w:val="Hyperlink"/>
          </w:rPr>
          <w:t>https://africacdc.org/do</w:t>
        </w:r>
        <w:r w:rsidR="00E7153A" w:rsidRPr="001B6DDF">
          <w:rPr>
            <w:rStyle w:val="Hyperlink"/>
          </w:rPr>
          <w:t>w</w:t>
        </w:r>
        <w:r w:rsidR="00E7153A" w:rsidRPr="001B6DDF">
          <w:rPr>
            <w:rStyle w:val="Hyperlink"/>
          </w:rPr>
          <w:t>nload/interim-guidance-on-the-use-of-rapid-antigen-tests-for-covid-19-response/</w:t>
        </w:r>
      </w:hyperlink>
      <w:r w:rsidR="00E7153A">
        <w:t xml:space="preserve"> (NOTE: The government document on this website provides guidance for African governmental and health care officials to implement effective prevention and treatment programs. The information </w:t>
      </w:r>
      <w:r w:rsidR="00E7153A" w:rsidRPr="00B65E4B">
        <w:rPr>
          <w:i/>
          <w:iCs/>
        </w:rPr>
        <w:t xml:space="preserve">may be of </w:t>
      </w:r>
      <w:proofErr w:type="gramStart"/>
      <w:r w:rsidR="00E7153A" w:rsidRPr="00B65E4B">
        <w:rPr>
          <w:i/>
          <w:iCs/>
        </w:rPr>
        <w:t>particular interest</w:t>
      </w:r>
      <w:proofErr w:type="gramEnd"/>
      <w:r w:rsidR="00E7153A" w:rsidRPr="00B65E4B">
        <w:rPr>
          <w:i/>
          <w:iCs/>
        </w:rPr>
        <w:t xml:space="preserve"> to educators in</w:t>
      </w:r>
      <w:r w:rsidR="00E7153A">
        <w:rPr>
          <w:i/>
          <w:iCs/>
        </w:rPr>
        <w:t xml:space="preserve"> public health, global health, international policy, and other health-related and government-related studies.)</w:t>
      </w:r>
    </w:p>
    <w:p w14:paraId="3D1D6618" w14:textId="4771051B" w:rsidR="0046111B" w:rsidRDefault="0046111B" w:rsidP="0046111B">
      <w:pPr>
        <w:pStyle w:val="ListParagraph"/>
        <w:numPr>
          <w:ilvl w:val="0"/>
          <w:numId w:val="2"/>
        </w:numPr>
        <w:rPr>
          <w:i/>
          <w:iCs/>
        </w:rPr>
      </w:pPr>
      <w:r>
        <w:t>Article (</w:t>
      </w:r>
      <w:r>
        <w:t>pre-peer reviewed</w:t>
      </w:r>
      <w:r>
        <w:t xml:space="preserve">): </w:t>
      </w:r>
      <w:r w:rsidRPr="0046111B">
        <w:rPr>
          <w:i/>
          <w:iCs/>
        </w:rPr>
        <w:t>Sex Work during the</w:t>
      </w:r>
      <w:r w:rsidRPr="0046111B">
        <w:rPr>
          <w:i/>
          <w:iCs/>
        </w:rPr>
        <w:t xml:space="preserve"> </w:t>
      </w:r>
      <w:r w:rsidRPr="0046111B">
        <w:rPr>
          <w:i/>
          <w:iCs/>
        </w:rPr>
        <w:t>COVID-19 Pandemic</w:t>
      </w:r>
      <w:r>
        <w:t xml:space="preserve"> by A.J. </w:t>
      </w:r>
      <w:r w:rsidRPr="0046111B">
        <w:t xml:space="preserve">Nelson, </w:t>
      </w:r>
      <w:r>
        <w:t xml:space="preserve">Y.J. </w:t>
      </w:r>
      <w:r w:rsidRPr="0046111B">
        <w:t>Yu, Y</w:t>
      </w:r>
      <w:r>
        <w:t xml:space="preserve"> and B.</w:t>
      </w:r>
      <w:r w:rsidRPr="0046111B">
        <w:t xml:space="preserve"> McBride (2020)</w:t>
      </w:r>
      <w:r>
        <w:t xml:space="preserve">, available at </w:t>
      </w:r>
      <w:hyperlink r:id="rId7" w:history="1">
        <w:r w:rsidRPr="001B6DDF">
          <w:rPr>
            <w:rStyle w:val="Hyperlink"/>
          </w:rPr>
          <w:t>https://saw.americananthro.org/pub/sex-work-during-the-covid-19-pandemic/release/1</w:t>
        </w:r>
      </w:hyperlink>
      <w:r>
        <w:t xml:space="preserve">  </w:t>
      </w:r>
      <w:r w:rsidRPr="0046111B">
        <w:rPr>
          <w:i/>
          <w:iCs/>
        </w:rPr>
        <w:t xml:space="preserve">(NOTE: This open-access article may be of particular interest to educators in </w:t>
      </w:r>
      <w:r>
        <w:rPr>
          <w:i/>
          <w:iCs/>
        </w:rPr>
        <w:t xml:space="preserve">gender and sexuality studies, public health , anthropology, sociology, </w:t>
      </w:r>
      <w:r w:rsidRPr="0046111B">
        <w:rPr>
          <w:i/>
          <w:iCs/>
        </w:rPr>
        <w:t>as well as other health-related studies.)</w:t>
      </w:r>
    </w:p>
    <w:p w14:paraId="55DDC901" w14:textId="6EB91D18" w:rsidR="0046111B" w:rsidRPr="000D7E80" w:rsidRDefault="000D7E80" w:rsidP="0046111B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Website (with live updates): </w:t>
      </w:r>
      <w:r w:rsidRPr="000D7E80">
        <w:rPr>
          <w:i/>
          <w:iCs/>
        </w:rPr>
        <w:t xml:space="preserve">A living WHO guideline on drugs for </w:t>
      </w:r>
      <w:r>
        <w:rPr>
          <w:i/>
          <w:iCs/>
        </w:rPr>
        <w:t>COVID</w:t>
      </w:r>
      <w:r w:rsidRPr="000D7E80">
        <w:rPr>
          <w:i/>
          <w:iCs/>
        </w:rPr>
        <w:t>-19</w:t>
      </w:r>
      <w:r>
        <w:t xml:space="preserve"> by The British Medical Journal (BMJ, 2020), available at    </w:t>
      </w:r>
      <w:hyperlink r:id="rId8" w:history="1">
        <w:r w:rsidRPr="001B6DDF">
          <w:rPr>
            <w:rStyle w:val="Hyperlink"/>
          </w:rPr>
          <w:t>https://www.bmj.com/content/370/bmj.m3379</w:t>
        </w:r>
      </w:hyperlink>
      <w:r>
        <w:t xml:space="preserve"> </w:t>
      </w:r>
      <w:r w:rsidR="00A90C63">
        <w:t xml:space="preserve"> </w:t>
      </w:r>
      <w:r w:rsidRPr="000D7E80">
        <w:rPr>
          <w:i/>
          <w:iCs/>
        </w:rPr>
        <w:t xml:space="preserve">(NOTE: This website contains </w:t>
      </w:r>
      <w:r w:rsidRPr="000D7E80">
        <w:rPr>
          <w:i/>
          <w:iCs/>
        </w:rPr>
        <w:t>useful information for faculty in public health, nursing, medicine, and other health-related studies</w:t>
      </w:r>
      <w:r w:rsidRPr="000D7E80">
        <w:rPr>
          <w:i/>
          <w:iCs/>
        </w:rPr>
        <w:t>.)</w:t>
      </w:r>
    </w:p>
    <w:p w14:paraId="0093C7E2" w14:textId="4067E08C" w:rsidR="00771B5B" w:rsidRDefault="00771B5B" w:rsidP="00184523"/>
    <w:p w14:paraId="2B8E53F6" w14:textId="40568A19" w:rsidR="00771B5B" w:rsidRDefault="00771B5B" w:rsidP="00771B5B">
      <w:pPr>
        <w:rPr>
          <w:u w:val="single"/>
        </w:rPr>
      </w:pPr>
      <w:r w:rsidRPr="004E747B">
        <w:rPr>
          <w:u w:val="single"/>
        </w:rPr>
        <w:t xml:space="preserve">Resources for </w:t>
      </w:r>
      <w:r w:rsidR="004A7FA9">
        <w:rPr>
          <w:u w:val="single"/>
        </w:rPr>
        <w:t xml:space="preserve">faculty, </w:t>
      </w:r>
      <w:r w:rsidRPr="004E747B">
        <w:rPr>
          <w:u w:val="single"/>
        </w:rPr>
        <w:t>staff</w:t>
      </w:r>
      <w:r w:rsidR="004E747B">
        <w:rPr>
          <w:u w:val="single"/>
        </w:rPr>
        <w:t xml:space="preserve"> and </w:t>
      </w:r>
      <w:r w:rsidRPr="004E747B">
        <w:rPr>
          <w:u w:val="single"/>
        </w:rPr>
        <w:t>administrators</w:t>
      </w:r>
    </w:p>
    <w:p w14:paraId="52FCBE38" w14:textId="77777777" w:rsidR="00706E84" w:rsidRDefault="00706E84" w:rsidP="00771B5B">
      <w:pPr>
        <w:rPr>
          <w:u w:val="single"/>
        </w:rPr>
      </w:pPr>
    </w:p>
    <w:p w14:paraId="586FE6F9" w14:textId="233BEF64" w:rsidR="0085333E" w:rsidRPr="00B65E4B" w:rsidRDefault="0085333E" w:rsidP="00CD5D3C">
      <w:pPr>
        <w:pStyle w:val="ListParagraph"/>
        <w:numPr>
          <w:ilvl w:val="0"/>
          <w:numId w:val="1"/>
        </w:numPr>
      </w:pPr>
      <w:r>
        <w:t xml:space="preserve">Article (non-peer reviewed):  </w:t>
      </w:r>
      <w:r w:rsidRPr="0085333E">
        <w:rPr>
          <w:i/>
          <w:iCs/>
        </w:rPr>
        <w:t>COVID Long Haulers Describe the Devastating Aftereffects of the Disease</w:t>
      </w:r>
      <w:r>
        <w:t xml:space="preserve"> by J. Gale (Bloomberg Businessweek, 2020), available at </w:t>
      </w:r>
      <w:hyperlink r:id="rId9" w:history="1">
        <w:r w:rsidRPr="00E643D2">
          <w:rPr>
            <w:rStyle w:val="Hyperlink"/>
          </w:rPr>
          <w:t>https://www.bloomberg.com/news/features/2020-11-09/coronavirus-long-haulers-tell-us-their-symptoms-and-the-aftereffects-of-disease</w:t>
        </w:r>
      </w:hyperlink>
      <w:r>
        <w:t xml:space="preserve"> </w:t>
      </w:r>
      <w:r w:rsidRPr="0085333E">
        <w:rPr>
          <w:i/>
          <w:iCs/>
        </w:rPr>
        <w:t>(NOTE: Various peer-reviewed and evidence-based studies are cited in this special report.)</w:t>
      </w:r>
    </w:p>
    <w:p w14:paraId="4D5B8E7E" w14:textId="6EBB16AD" w:rsidR="00B65E4B" w:rsidRPr="00B65E4B" w:rsidRDefault="00D13E46" w:rsidP="00CD5D3C">
      <w:pPr>
        <w:pStyle w:val="ListParagraph"/>
        <w:numPr>
          <w:ilvl w:val="0"/>
          <w:numId w:val="1"/>
        </w:numPr>
      </w:pPr>
      <w:r>
        <w:lastRenderedPageBreak/>
        <w:t xml:space="preserve">Website: </w:t>
      </w:r>
      <w:r>
        <w:t xml:space="preserve"> </w:t>
      </w:r>
      <w:r w:rsidR="00B65E4B" w:rsidRPr="00B65E4B">
        <w:t>Nine National Organizations Call for Action to Implement Crisis Standards of Care During COVID-19 Surge</w:t>
      </w:r>
      <w:r w:rsidR="00B65E4B">
        <w:t xml:space="preserve">  by National Academy of Medicine </w:t>
      </w:r>
      <w:r w:rsidR="00E95476">
        <w:t>(Dec. 18, 2020)</w:t>
      </w:r>
      <w:r w:rsidR="00B65E4B">
        <w:t xml:space="preserve">, available at </w:t>
      </w:r>
      <w:hyperlink r:id="rId10" w:history="1">
        <w:r w:rsidR="00B65E4B" w:rsidRPr="001B6DDF">
          <w:rPr>
            <w:rStyle w:val="Hyperlink"/>
          </w:rPr>
          <w:t>https://nam.edu/national-organizations-call-for-action-to-implement-crisis-standards-of-care-during-covid-19-surge/</w:t>
        </w:r>
      </w:hyperlink>
      <w:r w:rsidR="00B65E4B">
        <w:t xml:space="preserve"> . </w:t>
      </w:r>
      <w:r w:rsidR="00B65E4B">
        <w:rPr>
          <w:i/>
          <w:iCs/>
        </w:rPr>
        <w:t>(NOTE: The NAM lists recommendation for state governments, state health departments, and health care systems.)</w:t>
      </w:r>
    </w:p>
    <w:p w14:paraId="37DF71BA" w14:textId="55035A7E" w:rsidR="00D34FA4" w:rsidRPr="000C7939" w:rsidRDefault="00EF6143" w:rsidP="00D34FA4">
      <w:pPr>
        <w:pStyle w:val="ListParagraph"/>
        <w:numPr>
          <w:ilvl w:val="0"/>
          <w:numId w:val="1"/>
        </w:numPr>
      </w:pPr>
      <w:r>
        <w:t xml:space="preserve">Webinar (recording): </w:t>
      </w:r>
      <w:proofErr w:type="spellStart"/>
      <w:r w:rsidR="00D34FA4">
        <w:rPr>
          <w:i/>
          <w:iCs/>
        </w:rPr>
        <w:t>Pandemia</w:t>
      </w:r>
      <w:proofErr w:type="spellEnd"/>
      <w:r w:rsidR="00D34FA4">
        <w:rPr>
          <w:i/>
          <w:iCs/>
        </w:rPr>
        <w:t xml:space="preserve">: “The World We Live In Is a House on Fire: Latinx Health and COVID-19” </w:t>
      </w:r>
      <w:r w:rsidR="00D34FA4">
        <w:t>by Latino Commission on AIDS</w:t>
      </w:r>
      <w:r w:rsidR="00E7153A">
        <w:t xml:space="preserve"> (2020)</w:t>
      </w:r>
      <w:r w:rsidR="00D34FA4">
        <w:t xml:space="preserve">, available at </w:t>
      </w:r>
      <w:hyperlink r:id="rId11" w:history="1">
        <w:r w:rsidR="00D34FA4" w:rsidRPr="001B6DDF">
          <w:rPr>
            <w:rStyle w:val="Hyperlink"/>
          </w:rPr>
          <w:t>https://www.youtube.com/watch?v=yiGNHiMvkNk&amp;feature=youtu.be</w:t>
        </w:r>
      </w:hyperlink>
      <w:r w:rsidR="00D34FA4">
        <w:t xml:space="preserve"> </w:t>
      </w:r>
      <w:r w:rsidR="00D34FA4" w:rsidRPr="0085333E">
        <w:rPr>
          <w:i/>
          <w:iCs/>
        </w:rPr>
        <w:t xml:space="preserve">(NOTE: Various peer-reviewed and evidence-based studies are cited in this </w:t>
      </w:r>
      <w:r w:rsidR="00D34FA4">
        <w:rPr>
          <w:i/>
          <w:iCs/>
        </w:rPr>
        <w:t>webinar</w:t>
      </w:r>
      <w:r w:rsidR="00D34FA4" w:rsidRPr="0085333E">
        <w:rPr>
          <w:i/>
          <w:iCs/>
        </w:rPr>
        <w:t>.)</w:t>
      </w:r>
    </w:p>
    <w:p w14:paraId="4C1B13C6" w14:textId="2083FD88" w:rsidR="000C7939" w:rsidRPr="000C7939" w:rsidRDefault="000D7E80" w:rsidP="000C7939">
      <w:pPr>
        <w:pStyle w:val="ListParagraph"/>
        <w:numPr>
          <w:ilvl w:val="0"/>
          <w:numId w:val="1"/>
        </w:numPr>
      </w:pPr>
      <w:r>
        <w:t>Website</w:t>
      </w:r>
      <w:r w:rsidR="000C7939">
        <w:t xml:space="preserve"> (with Live Updates): </w:t>
      </w:r>
      <w:r w:rsidR="000C7939" w:rsidRPr="000C7939">
        <w:rPr>
          <w:i/>
          <w:iCs/>
        </w:rPr>
        <w:t>How Full Are Hospital I.C.U.s Near You?</w:t>
      </w:r>
      <w:r w:rsidR="000C7939" w:rsidRPr="000C7939">
        <w:t xml:space="preserve"> (New York Times, 2020</w:t>
      </w:r>
      <w:r w:rsidR="000C7939" w:rsidRPr="000C7939">
        <w:t>),</w:t>
      </w:r>
      <w:r w:rsidR="000C7939">
        <w:t xml:space="preserve"> available at</w:t>
      </w:r>
      <w:r w:rsidR="000C7939">
        <w:t xml:space="preserve"> </w:t>
      </w:r>
      <w:hyperlink r:id="rId12" w:history="1">
        <w:r w:rsidR="000C7939" w:rsidRPr="001B6DDF">
          <w:rPr>
            <w:rStyle w:val="Hyperlink"/>
          </w:rPr>
          <w:t>https://www.nytimes.com/interactive/2020/us/covid-hospitals-near-you.html?action=click&amp;module=Top%20Stories&amp;pgtype=Homepage</w:t>
        </w:r>
      </w:hyperlink>
      <w:r w:rsidR="000C7939">
        <w:t xml:space="preserve"> </w:t>
      </w:r>
      <w:r w:rsidR="000C7939" w:rsidRPr="0085333E">
        <w:rPr>
          <w:i/>
          <w:iCs/>
        </w:rPr>
        <w:t>(NOTE</w:t>
      </w:r>
      <w:r w:rsidR="000C7939">
        <w:rPr>
          <w:i/>
          <w:iCs/>
        </w:rPr>
        <w:t xml:space="preserve">: The live updates </w:t>
      </w:r>
      <w:r>
        <w:rPr>
          <w:i/>
          <w:iCs/>
        </w:rPr>
        <w:t>on</w:t>
      </w:r>
      <w:r w:rsidR="000C7939">
        <w:rPr>
          <w:i/>
          <w:iCs/>
        </w:rPr>
        <w:t xml:space="preserve"> this </w:t>
      </w:r>
      <w:r>
        <w:rPr>
          <w:i/>
          <w:iCs/>
        </w:rPr>
        <w:t>website</w:t>
      </w:r>
      <w:r w:rsidR="000C7939">
        <w:rPr>
          <w:i/>
          <w:iCs/>
        </w:rPr>
        <w:t xml:space="preserve"> can help administrators and staff plan for closures and phased </w:t>
      </w:r>
      <w:proofErr w:type="spellStart"/>
      <w:r w:rsidR="000C7939">
        <w:rPr>
          <w:i/>
          <w:iCs/>
        </w:rPr>
        <w:t>reopenings</w:t>
      </w:r>
      <w:proofErr w:type="spellEnd"/>
      <w:r w:rsidR="000C7939" w:rsidRPr="0085333E">
        <w:rPr>
          <w:i/>
          <w:iCs/>
        </w:rPr>
        <w:t>.</w:t>
      </w:r>
      <w:r w:rsidR="000C7939">
        <w:rPr>
          <w:i/>
          <w:iCs/>
        </w:rPr>
        <w:t xml:space="preserve"> This is also useful information for faculty in public health, nursing, medicine, and other health-related studies.</w:t>
      </w:r>
      <w:r w:rsidR="000C7939" w:rsidRPr="0085333E">
        <w:rPr>
          <w:i/>
          <w:iCs/>
        </w:rPr>
        <w:t>)</w:t>
      </w:r>
    </w:p>
    <w:p w14:paraId="68DC531D" w14:textId="3E6C95B4" w:rsidR="004F1CD4" w:rsidRDefault="00E95476" w:rsidP="004F1CD4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Article (Peer-reviewed/governmental): </w:t>
      </w:r>
      <w:r w:rsidRPr="00E95476">
        <w:rPr>
          <w:i/>
          <w:iCs/>
        </w:rPr>
        <w:t>Estimated Resource Costs for Implementation of CDC’s Recommended COVID-19 Mitigation Strategies in Pre-Kindergarten through Grade 12 Public Schools — United States, 2020–21 School Year</w:t>
      </w:r>
      <w:r>
        <w:t xml:space="preserve">  by K.</w:t>
      </w:r>
      <w:r w:rsidRPr="00E95476">
        <w:t xml:space="preserve"> Rice</w:t>
      </w:r>
      <w:r>
        <w:t xml:space="preserve">, G. </w:t>
      </w:r>
      <w:r w:rsidRPr="00E95476">
        <w:t>Miller</w:t>
      </w:r>
      <w:r>
        <w:t>,</w:t>
      </w:r>
      <w:r w:rsidRPr="00E95476">
        <w:t xml:space="preserve"> F</w:t>
      </w:r>
      <w:r>
        <w:t xml:space="preserve">. </w:t>
      </w:r>
      <w:r w:rsidRPr="00E95476">
        <w:t>Coronado,</w:t>
      </w:r>
      <w:r>
        <w:t xml:space="preserve"> and </w:t>
      </w:r>
      <w:r w:rsidRPr="00E95476">
        <w:t>M</w:t>
      </w:r>
      <w:r>
        <w:t xml:space="preserve">. </w:t>
      </w:r>
      <w:r w:rsidRPr="00E95476">
        <w:t>Meltzer</w:t>
      </w:r>
      <w:r>
        <w:t xml:space="preserve"> (CDC MMWR, 2020), available at </w:t>
      </w:r>
      <w:hyperlink r:id="rId13" w:history="1">
        <w:r w:rsidRPr="001B6DDF">
          <w:rPr>
            <w:rStyle w:val="Hyperlink"/>
          </w:rPr>
          <w:t>https://www.cdc.gov/mmwr/volumes/69/wr/mm6950e1.htm?s_cid=mm6950e1_w</w:t>
        </w:r>
      </w:hyperlink>
      <w:r>
        <w:t xml:space="preserve"> </w:t>
      </w:r>
      <w:r w:rsidR="004F1CD4" w:rsidRPr="0046111B">
        <w:rPr>
          <w:i/>
          <w:iCs/>
        </w:rPr>
        <w:t xml:space="preserve">(NOTE: This article </w:t>
      </w:r>
      <w:r w:rsidR="004F1CD4">
        <w:rPr>
          <w:i/>
          <w:iCs/>
        </w:rPr>
        <w:t xml:space="preserve">published by the U.S. government’s CDC </w:t>
      </w:r>
      <w:r w:rsidR="004F1CD4" w:rsidRPr="0046111B">
        <w:rPr>
          <w:i/>
          <w:iCs/>
        </w:rPr>
        <w:t xml:space="preserve">may be of particular interest to </w:t>
      </w:r>
      <w:r w:rsidR="004F1CD4">
        <w:rPr>
          <w:i/>
          <w:iCs/>
        </w:rPr>
        <w:t xml:space="preserve">administrators working with K-12 schools as well as </w:t>
      </w:r>
      <w:r w:rsidR="004F1CD4" w:rsidRPr="0046111B">
        <w:rPr>
          <w:i/>
          <w:iCs/>
        </w:rPr>
        <w:t xml:space="preserve">educators in </w:t>
      </w:r>
      <w:r w:rsidR="004F1CD4">
        <w:rPr>
          <w:i/>
          <w:iCs/>
        </w:rPr>
        <w:t>education,</w:t>
      </w:r>
      <w:r w:rsidR="004F1CD4">
        <w:rPr>
          <w:i/>
          <w:iCs/>
        </w:rPr>
        <w:t xml:space="preserve"> public health, </w:t>
      </w:r>
      <w:r w:rsidR="004F1CD4">
        <w:rPr>
          <w:i/>
          <w:iCs/>
        </w:rPr>
        <w:t>business</w:t>
      </w:r>
      <w:r w:rsidR="004F1CD4">
        <w:rPr>
          <w:i/>
          <w:iCs/>
        </w:rPr>
        <w:t xml:space="preserve">, </w:t>
      </w:r>
      <w:r w:rsidR="004F1CD4">
        <w:rPr>
          <w:i/>
          <w:iCs/>
        </w:rPr>
        <w:t xml:space="preserve">health services administration, school administration, </w:t>
      </w:r>
      <w:r w:rsidR="004F1CD4" w:rsidRPr="0046111B">
        <w:rPr>
          <w:i/>
          <w:iCs/>
        </w:rPr>
        <w:t>as well as other health-related studies.)</w:t>
      </w:r>
    </w:p>
    <w:p w14:paraId="6D4BDB29" w14:textId="676D7D0A" w:rsidR="00B65E4B" w:rsidRDefault="00B65E4B" w:rsidP="008C125E">
      <w:pPr>
        <w:pStyle w:val="ListParagraph"/>
        <w:numPr>
          <w:ilvl w:val="0"/>
          <w:numId w:val="1"/>
        </w:numPr>
      </w:pPr>
    </w:p>
    <w:p w14:paraId="36F584FC" w14:textId="03FB7A9D" w:rsidR="00184523" w:rsidRDefault="00184523" w:rsidP="00184523"/>
    <w:p w14:paraId="68A1CF33" w14:textId="77777777" w:rsidR="00184523" w:rsidRDefault="00184523" w:rsidP="00184523"/>
    <w:p w14:paraId="0284EE0A" w14:textId="40ACA85C" w:rsidR="00184523" w:rsidRDefault="00184523" w:rsidP="00184523"/>
    <w:p w14:paraId="3AC3AA24" w14:textId="77777777" w:rsidR="00184523" w:rsidRPr="003664DA" w:rsidRDefault="00184523" w:rsidP="00184523">
      <w:pPr>
        <w:rPr>
          <w:b/>
          <w:bCs/>
          <w:u w:val="single"/>
        </w:rPr>
      </w:pPr>
    </w:p>
    <w:p w14:paraId="2A158347" w14:textId="77777777" w:rsidR="00184523" w:rsidRPr="00184523" w:rsidRDefault="00184523">
      <w:pPr>
        <w:rPr>
          <w:b/>
          <w:bCs/>
          <w:u w:val="single"/>
        </w:rPr>
      </w:pPr>
    </w:p>
    <w:sectPr w:rsidR="00184523" w:rsidRPr="00184523" w:rsidSect="007841B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87E32"/>
    <w:multiLevelType w:val="hybridMultilevel"/>
    <w:tmpl w:val="33FC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507A4"/>
    <w:multiLevelType w:val="hybridMultilevel"/>
    <w:tmpl w:val="AE50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8B"/>
    <w:rsid w:val="00001DA7"/>
    <w:rsid w:val="000217E4"/>
    <w:rsid w:val="00026446"/>
    <w:rsid w:val="00072329"/>
    <w:rsid w:val="0008396D"/>
    <w:rsid w:val="000C130A"/>
    <w:rsid w:val="000C7939"/>
    <w:rsid w:val="000D7E80"/>
    <w:rsid w:val="00137AEE"/>
    <w:rsid w:val="00184523"/>
    <w:rsid w:val="001B1361"/>
    <w:rsid w:val="001E5813"/>
    <w:rsid w:val="00267C65"/>
    <w:rsid w:val="00273022"/>
    <w:rsid w:val="002C440C"/>
    <w:rsid w:val="003317D4"/>
    <w:rsid w:val="003476FA"/>
    <w:rsid w:val="003664DA"/>
    <w:rsid w:val="00370417"/>
    <w:rsid w:val="00435277"/>
    <w:rsid w:val="0046111B"/>
    <w:rsid w:val="004A7FA9"/>
    <w:rsid w:val="004B201E"/>
    <w:rsid w:val="004E2260"/>
    <w:rsid w:val="004E747B"/>
    <w:rsid w:val="004F1CD4"/>
    <w:rsid w:val="005217A0"/>
    <w:rsid w:val="005609EC"/>
    <w:rsid w:val="00705742"/>
    <w:rsid w:val="00706E84"/>
    <w:rsid w:val="00771B5B"/>
    <w:rsid w:val="007841B1"/>
    <w:rsid w:val="007C2441"/>
    <w:rsid w:val="0085333E"/>
    <w:rsid w:val="008E12E2"/>
    <w:rsid w:val="0091717E"/>
    <w:rsid w:val="0096699D"/>
    <w:rsid w:val="0098161F"/>
    <w:rsid w:val="009E5CDC"/>
    <w:rsid w:val="00A05ECF"/>
    <w:rsid w:val="00A4320F"/>
    <w:rsid w:val="00A90C63"/>
    <w:rsid w:val="00AB037D"/>
    <w:rsid w:val="00B01941"/>
    <w:rsid w:val="00B65E4B"/>
    <w:rsid w:val="00C52B82"/>
    <w:rsid w:val="00C8399D"/>
    <w:rsid w:val="00CD5D3C"/>
    <w:rsid w:val="00D0318B"/>
    <w:rsid w:val="00D13E46"/>
    <w:rsid w:val="00D161C9"/>
    <w:rsid w:val="00D34FA4"/>
    <w:rsid w:val="00D73B31"/>
    <w:rsid w:val="00D81AC9"/>
    <w:rsid w:val="00D958B3"/>
    <w:rsid w:val="00E124C4"/>
    <w:rsid w:val="00E53F9B"/>
    <w:rsid w:val="00E7153A"/>
    <w:rsid w:val="00E95476"/>
    <w:rsid w:val="00EF6143"/>
    <w:rsid w:val="00F46FA6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76E13"/>
  <w14:defaultImageDpi w14:val="300"/>
  <w15:chartTrackingRefBased/>
  <w15:docId w15:val="{CFDF886C-DA26-E94E-AC72-4EA2ECE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19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7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6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j.com/content/370/bmj.m3379" TargetMode="External"/><Relationship Id="rId13" Type="http://schemas.openxmlformats.org/officeDocument/2006/relationships/hyperlink" Target="https://www.cdc.gov/mmwr/volumes/69/wr/mm6950e1.htm?s_cid=mm6950e1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w.americananthro.org/pub/sex-work-during-the-covid-19-pandemic/release/1" TargetMode="External"/><Relationship Id="rId12" Type="http://schemas.openxmlformats.org/officeDocument/2006/relationships/hyperlink" Target="https://www.nytimes.com/interactive/2020/us/covid-hospitals-near-you.html?action=click&amp;module=Top%20Stories&amp;pgtype=Home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ricacdc.org/download/interim-guidance-on-the-use-of-rapid-antigen-tests-for-covid-19-response/" TargetMode="External"/><Relationship Id="rId11" Type="http://schemas.openxmlformats.org/officeDocument/2006/relationships/hyperlink" Target="https://www.youtube.com/watch?v=yiGNHiMvkNk&amp;feature=youtu.be" TargetMode="External"/><Relationship Id="rId5" Type="http://schemas.openxmlformats.org/officeDocument/2006/relationships/hyperlink" Target="https://doi.org/10.1177/117864692095183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m.edu/national-organizations-call-for-action-to-implement-crisis-standards-of-care-during-covid-19-sur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omberg.com/news/features/2020-11-09/coronavirus-long-haulers-tell-us-their-symptoms-and-the-aftereffects-of-disea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Nanin</dc:creator>
  <cp:keywords/>
  <dc:description/>
  <cp:lastModifiedBy>Jose Nanin</cp:lastModifiedBy>
  <cp:revision>8</cp:revision>
  <dcterms:created xsi:type="dcterms:W3CDTF">2020-12-18T21:30:00Z</dcterms:created>
  <dcterms:modified xsi:type="dcterms:W3CDTF">2020-12-18T23:15:00Z</dcterms:modified>
</cp:coreProperties>
</file>